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5B" w:rsidRDefault="00AF325B">
      <w:pPr>
        <w:widowControl/>
        <w:shd w:val="clear" w:color="auto" w:fill="FFFFFF"/>
        <w:spacing w:line="560" w:lineRule="exact"/>
        <w:jc w:val="center"/>
        <w:rPr>
          <w:rFonts w:ascii="华文中宋" w:eastAsia="华文中宋" w:hAnsi="华文中宋"/>
          <w:color w:val="212529"/>
          <w:kern w:val="0"/>
          <w:sz w:val="32"/>
          <w:szCs w:val="32"/>
        </w:rPr>
      </w:pPr>
      <w:r>
        <w:rPr>
          <w:rFonts w:ascii="华文中宋" w:eastAsia="华文中宋" w:hAnsi="华文中宋" w:hint="eastAsia"/>
          <w:color w:val="212529"/>
          <w:kern w:val="0"/>
          <w:sz w:val="32"/>
          <w:szCs w:val="32"/>
        </w:rPr>
        <w:t>法学院第一届“吴文翰杯”法律英语演讲比赛评分规则</w:t>
      </w:r>
    </w:p>
    <w:p w:rsidR="00BC605B" w:rsidRDefault="00AF325B">
      <w:pPr>
        <w:widowControl/>
        <w:shd w:val="clear" w:color="auto" w:fill="FFFFFF"/>
        <w:spacing w:line="560" w:lineRule="exact"/>
        <w:jc w:val="center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Judging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Criteria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for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the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1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  <w:vertAlign w:val="superscript"/>
        </w:rPr>
        <w:t>st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Wu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Wen-Han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Cup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Legal English Public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-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Speaking Competition o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f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NWNU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’s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Law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School</w:t>
      </w:r>
    </w:p>
    <w:p w:rsidR="00BC605B" w:rsidRDefault="00BC605B">
      <w:pPr>
        <w:widowControl/>
        <w:shd w:val="clear" w:color="auto" w:fill="FFFFFF"/>
        <w:spacing w:line="560" w:lineRule="exact"/>
        <w:rPr>
          <w:rFonts w:ascii="Georgia" w:eastAsia="仿宋" w:hAnsi="Georgia" w:cs="Segoe UI"/>
          <w:color w:val="212529"/>
          <w:kern w:val="0"/>
          <w:sz w:val="30"/>
          <w:szCs w:val="30"/>
        </w:rPr>
      </w:pPr>
    </w:p>
    <w:p w:rsidR="00BC605B" w:rsidRDefault="006F266B">
      <w:pPr>
        <w:widowControl/>
        <w:shd w:val="clear" w:color="auto" w:fill="FFFFFF"/>
        <w:spacing w:line="560" w:lineRule="exact"/>
        <w:ind w:firstLineChars="200" w:firstLine="600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本赛事从选手的英语能力、专业内容、演讲能力、整体效果四个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层面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进行评分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，细分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1</w:t>
      </w:r>
      <w:r w:rsidR="00AF325B">
        <w:rPr>
          <w:rFonts w:ascii="Georgia" w:eastAsia="仿宋" w:hAnsi="Georgia" w:cs="Segoe UI"/>
          <w:color w:val="212529"/>
          <w:kern w:val="0"/>
          <w:sz w:val="30"/>
          <w:szCs w:val="30"/>
        </w:rPr>
        <w:t>0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个评分项，各评分项评分区间为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0-</w:t>
      </w:r>
      <w:r w:rsidR="00AF325B">
        <w:rPr>
          <w:rFonts w:ascii="Georgia" w:eastAsia="仿宋" w:hAnsi="Georgia" w:cs="Segoe UI"/>
          <w:color w:val="212529"/>
          <w:kern w:val="0"/>
          <w:sz w:val="30"/>
          <w:szCs w:val="30"/>
        </w:rPr>
        <w:t>10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分。每位评委在各选手演讲结束后，在每个评分项下分别给分。由现场计分组统一合计总分。按各选手总分高低顺序评定一等奖、二等奖、三等奖、优秀奖各主赛奖项得主。两个单项奖，从前述主赛奖项得主中按相关单项得分成绩评定：第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1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、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2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、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3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项三项得分总和最高者获最佳语音奖；第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1</w:t>
      </w:r>
      <w:r w:rsidR="00AF325B">
        <w:rPr>
          <w:rFonts w:ascii="Georgia" w:eastAsia="仿宋" w:hAnsi="Georgia" w:cs="Segoe UI"/>
          <w:color w:val="212529"/>
          <w:kern w:val="0"/>
          <w:sz w:val="30"/>
          <w:szCs w:val="30"/>
        </w:rPr>
        <w:t>0</w:t>
      </w:r>
      <w:r w:rsidR="00AF325B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项得分总和最高者获最佳表现奖。</w:t>
      </w:r>
    </w:p>
    <w:p w:rsidR="00BC605B" w:rsidRPr="00247B5A" w:rsidRDefault="00AF325B">
      <w:pPr>
        <w:pStyle w:val="a6"/>
        <w:widowControl/>
        <w:shd w:val="clear" w:color="auto" w:fill="FFFFFF"/>
        <w:spacing w:line="560" w:lineRule="exact"/>
        <w:ind w:left="360" w:firstLineChars="100" w:firstLine="300"/>
        <w:rPr>
          <w:rFonts w:ascii="黑体" w:eastAsia="黑体" w:hAnsi="黑体" w:cs="Segoe UI"/>
          <w:color w:val="212529"/>
          <w:kern w:val="0"/>
          <w:sz w:val="30"/>
          <w:szCs w:val="30"/>
        </w:rPr>
      </w:pPr>
      <w:r w:rsidRPr="00247B5A"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各评分项评判要点如下：</w:t>
      </w:r>
    </w:p>
    <w:p w:rsidR="00BC605B" w:rsidRDefault="00AF325B">
      <w:pPr>
        <w:widowControl/>
        <w:shd w:val="clear" w:color="auto" w:fill="FFFFFF"/>
        <w:spacing w:line="560" w:lineRule="exact"/>
        <w:ind w:firstLineChars="200" w:firstLine="602"/>
        <w:rPr>
          <w:rFonts w:ascii="Georgia" w:eastAsia="仿宋" w:hAnsi="Georgia" w:cs="Segoe UI"/>
          <w:b/>
          <w:bCs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b/>
          <w:bCs/>
          <w:color w:val="212529"/>
          <w:kern w:val="0"/>
          <w:sz w:val="30"/>
          <w:szCs w:val="30"/>
        </w:rPr>
        <w:t>评分层面一：英文能力</w:t>
      </w:r>
      <w:bookmarkStart w:id="0" w:name="_Hlk18871461"/>
      <w:r>
        <w:rPr>
          <w:rFonts w:ascii="Georgia" w:eastAsia="仿宋" w:hAnsi="Georgia" w:cs="Segoe UI" w:hint="eastAsia"/>
          <w:b/>
          <w:bCs/>
          <w:color w:val="212529"/>
          <w:kern w:val="0"/>
          <w:sz w:val="30"/>
          <w:szCs w:val="30"/>
        </w:rPr>
        <w:t>（共计</w:t>
      </w:r>
      <w:r>
        <w:rPr>
          <w:rFonts w:ascii="Georgia" w:eastAsia="仿宋" w:hAnsi="Georgia" w:cs="Segoe UI" w:hint="eastAsia"/>
          <w:b/>
          <w:bCs/>
          <w:color w:val="212529"/>
          <w:kern w:val="0"/>
          <w:sz w:val="30"/>
          <w:szCs w:val="30"/>
        </w:rPr>
        <w:t>0-</w:t>
      </w:r>
      <w:r>
        <w:rPr>
          <w:rFonts w:ascii="Georgia" w:eastAsia="仿宋" w:hAnsi="Georgia" w:cs="Segoe UI"/>
          <w:b/>
          <w:bCs/>
          <w:color w:val="212529"/>
          <w:kern w:val="0"/>
          <w:sz w:val="30"/>
          <w:szCs w:val="30"/>
        </w:rPr>
        <w:t>30</w:t>
      </w:r>
      <w:r>
        <w:rPr>
          <w:rFonts w:ascii="Georgia" w:eastAsia="仿宋" w:hAnsi="Georgia" w:cs="Segoe UI" w:hint="eastAsia"/>
          <w:b/>
          <w:bCs/>
          <w:color w:val="212529"/>
          <w:kern w:val="0"/>
          <w:sz w:val="30"/>
          <w:szCs w:val="30"/>
        </w:rPr>
        <w:t>分）</w:t>
      </w:r>
      <w:bookmarkEnd w:id="0"/>
    </w:p>
    <w:p w:rsidR="00BC605B" w:rsidRDefault="00AF325B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语音语调的标准度和适宜度（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0-10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分）</w:t>
      </w:r>
      <w:r w:rsidR="007B3AA8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。</w:t>
      </w:r>
    </w:p>
    <w:p w:rsidR="00BC605B" w:rsidRDefault="00AF325B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发音表述的流利度与连贯度（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0-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10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分）</w:t>
      </w:r>
      <w:r w:rsidR="007B3AA8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。</w:t>
      </w:r>
    </w:p>
    <w:p w:rsidR="00BC605B" w:rsidRDefault="00AF325B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英文遣词造句的难易度和准确度（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0-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10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分）</w:t>
      </w:r>
      <w:r w:rsidR="007B3AA8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。</w:t>
      </w:r>
    </w:p>
    <w:p w:rsidR="00BC605B" w:rsidRDefault="00AF325B">
      <w:pPr>
        <w:widowControl/>
        <w:shd w:val="clear" w:color="auto" w:fill="FFFFFF"/>
        <w:spacing w:line="560" w:lineRule="exact"/>
        <w:ind w:firstLineChars="200" w:firstLine="602"/>
        <w:rPr>
          <w:rFonts w:ascii="Georgia" w:eastAsia="仿宋" w:hAnsi="Georgia" w:cs="Segoe UI"/>
          <w:b/>
          <w:bCs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b/>
          <w:bCs/>
          <w:color w:val="212529"/>
          <w:kern w:val="0"/>
          <w:sz w:val="30"/>
          <w:szCs w:val="30"/>
        </w:rPr>
        <w:t>评分层面二：专业内容（共计</w:t>
      </w:r>
      <w:r>
        <w:rPr>
          <w:rFonts w:ascii="Georgia" w:eastAsia="仿宋" w:hAnsi="Georgia" w:cs="Segoe UI"/>
          <w:b/>
          <w:bCs/>
          <w:color w:val="212529"/>
          <w:kern w:val="0"/>
          <w:sz w:val="30"/>
          <w:szCs w:val="30"/>
        </w:rPr>
        <w:t>0-30</w:t>
      </w:r>
      <w:r>
        <w:rPr>
          <w:rFonts w:ascii="Georgia" w:eastAsia="仿宋" w:hAnsi="Georgia" w:cs="Segoe UI"/>
          <w:b/>
          <w:bCs/>
          <w:color w:val="212529"/>
          <w:kern w:val="0"/>
          <w:sz w:val="30"/>
          <w:szCs w:val="30"/>
        </w:rPr>
        <w:t>分）</w:t>
      </w:r>
    </w:p>
    <w:p w:rsidR="00BC605B" w:rsidRDefault="00AF325B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演讲内容的切题性与专业性。与法</w:t>
      </w:r>
      <w:proofErr w:type="gramStart"/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科主题</w:t>
      </w:r>
      <w:proofErr w:type="gramEnd"/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的相关性，法科术语及命题的使用情况（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0-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10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分）</w:t>
      </w:r>
      <w:r w:rsidR="007B3AA8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。</w:t>
      </w:r>
    </w:p>
    <w:p w:rsidR="00BC605B" w:rsidRDefault="00AF325B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论述的逻辑性、结构设计的合理性、思路的清晰度、信息的铺陈与组织的恰当性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（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0-10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分）</w:t>
      </w:r>
      <w:r w:rsidR="007B3AA8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。</w:t>
      </w:r>
    </w:p>
    <w:p w:rsidR="00BC605B" w:rsidRDefault="00AF325B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在法科专业主题上的双语思维能力（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0-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10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分）</w:t>
      </w:r>
      <w:r w:rsidR="007B3AA8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。</w:t>
      </w:r>
    </w:p>
    <w:p w:rsidR="00BC605B" w:rsidRDefault="00AF325B">
      <w:pPr>
        <w:widowControl/>
        <w:shd w:val="clear" w:color="auto" w:fill="FFFFFF"/>
        <w:spacing w:line="560" w:lineRule="exact"/>
        <w:ind w:left="600"/>
        <w:rPr>
          <w:rFonts w:ascii="Georgia" w:eastAsia="仿宋" w:hAnsi="Georgia" w:cs="Segoe UI"/>
          <w:b/>
          <w:bCs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b/>
          <w:bCs/>
          <w:color w:val="212529"/>
          <w:kern w:val="0"/>
          <w:sz w:val="30"/>
          <w:szCs w:val="30"/>
        </w:rPr>
        <w:t>评分层面三：演讲能力（共计</w:t>
      </w:r>
      <w:r>
        <w:rPr>
          <w:rFonts w:ascii="Georgia" w:eastAsia="仿宋" w:hAnsi="Georgia" w:cs="Segoe UI"/>
          <w:b/>
          <w:bCs/>
          <w:color w:val="212529"/>
          <w:kern w:val="0"/>
          <w:sz w:val="30"/>
          <w:szCs w:val="30"/>
        </w:rPr>
        <w:t>0-30</w:t>
      </w:r>
      <w:r>
        <w:rPr>
          <w:rFonts w:ascii="Georgia" w:eastAsia="仿宋" w:hAnsi="Georgia" w:cs="Segoe UI"/>
          <w:b/>
          <w:bCs/>
          <w:color w:val="212529"/>
          <w:kern w:val="0"/>
          <w:sz w:val="30"/>
          <w:szCs w:val="30"/>
        </w:rPr>
        <w:t>分）</w:t>
      </w:r>
    </w:p>
    <w:p w:rsidR="00BC605B" w:rsidRDefault="00AF325B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lastRenderedPageBreak/>
        <w:t>讲话的现场感，临场的应变交流能力</w:t>
      </w:r>
      <w:bookmarkStart w:id="1" w:name="_Hlk18872096"/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（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0-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10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分）</w:t>
      </w:r>
      <w:bookmarkEnd w:id="1"/>
      <w:r w:rsidR="007B3AA8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。</w:t>
      </w:r>
    </w:p>
    <w:p w:rsidR="00BC605B" w:rsidRDefault="00AF325B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演讲仪态。包括举止仪表、肢体姿态、表情、声量、感染力（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0-10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分）</w:t>
      </w:r>
      <w:r w:rsidR="007B3AA8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。</w:t>
      </w:r>
    </w:p>
    <w:p w:rsidR="00BC605B" w:rsidRDefault="00AF325B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时间和节奏掌控（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0-10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分）</w:t>
      </w:r>
      <w:r w:rsidR="007B3AA8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。</w:t>
      </w:r>
    </w:p>
    <w:p w:rsidR="00BC605B" w:rsidRDefault="00AF325B">
      <w:pPr>
        <w:widowControl/>
        <w:shd w:val="clear" w:color="auto" w:fill="FFFFFF"/>
        <w:spacing w:line="560" w:lineRule="exact"/>
        <w:ind w:left="600"/>
        <w:rPr>
          <w:rFonts w:ascii="Georgia" w:eastAsia="仿宋" w:hAnsi="Georgia" w:cs="Segoe UI"/>
          <w:b/>
          <w:bCs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b/>
          <w:bCs/>
          <w:color w:val="212529"/>
          <w:kern w:val="0"/>
          <w:sz w:val="30"/>
          <w:szCs w:val="30"/>
        </w:rPr>
        <w:t>评分层面四：整体效果（共</w:t>
      </w:r>
      <w:r>
        <w:rPr>
          <w:rFonts w:ascii="Georgia" w:eastAsia="仿宋" w:hAnsi="Georgia" w:cs="Segoe UI" w:hint="eastAsia"/>
          <w:b/>
          <w:bCs/>
          <w:color w:val="212529"/>
          <w:kern w:val="0"/>
          <w:sz w:val="30"/>
          <w:szCs w:val="30"/>
        </w:rPr>
        <w:t>0-1</w:t>
      </w:r>
      <w:r>
        <w:rPr>
          <w:rFonts w:ascii="Georgia" w:eastAsia="仿宋" w:hAnsi="Georgia" w:cs="Segoe UI"/>
          <w:b/>
          <w:bCs/>
          <w:color w:val="212529"/>
          <w:kern w:val="0"/>
          <w:sz w:val="30"/>
          <w:szCs w:val="30"/>
        </w:rPr>
        <w:t>0</w:t>
      </w:r>
      <w:r>
        <w:rPr>
          <w:rFonts w:ascii="Georgia" w:eastAsia="仿宋" w:hAnsi="Georgia" w:cs="Segoe UI" w:hint="eastAsia"/>
          <w:b/>
          <w:bCs/>
          <w:color w:val="212529"/>
          <w:kern w:val="0"/>
          <w:sz w:val="30"/>
          <w:szCs w:val="30"/>
        </w:rPr>
        <w:t>分）</w:t>
      </w:r>
    </w:p>
    <w:p w:rsidR="00BC605B" w:rsidRPr="007B3AA8" w:rsidRDefault="007B3AA8" w:rsidP="007B3AA8">
      <w:pPr>
        <w:widowControl/>
        <w:shd w:val="clear" w:color="auto" w:fill="FFFFFF"/>
        <w:spacing w:line="560" w:lineRule="exact"/>
        <w:ind w:firstLineChars="200" w:firstLine="600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1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0.</w:t>
      </w:r>
      <w:r w:rsidR="00AF325B" w:rsidRPr="007B3AA8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总体表现。包括准备程度、备赛态度、现场发挥情况及效果、总体印象等（</w:t>
      </w:r>
      <w:r w:rsidR="00AF325B" w:rsidRPr="007B3AA8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0-</w:t>
      </w:r>
      <w:r w:rsidR="00AF325B" w:rsidRPr="007B3AA8">
        <w:rPr>
          <w:rFonts w:ascii="Georgia" w:eastAsia="仿宋" w:hAnsi="Georgia" w:cs="Segoe UI"/>
          <w:color w:val="212529"/>
          <w:kern w:val="0"/>
          <w:sz w:val="30"/>
          <w:szCs w:val="30"/>
        </w:rPr>
        <w:t>10</w:t>
      </w:r>
      <w:r w:rsidR="00AF325B" w:rsidRPr="007B3AA8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分）</w:t>
      </w:r>
      <w:r w:rsidRPr="007B3AA8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。</w:t>
      </w:r>
    </w:p>
    <w:p w:rsidR="00BC605B" w:rsidRDefault="00BC605B">
      <w:pPr>
        <w:widowControl/>
        <w:shd w:val="clear" w:color="auto" w:fill="FFFFFF"/>
        <w:spacing w:line="560" w:lineRule="exact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bookmarkStart w:id="2" w:name="_GoBack"/>
      <w:bookmarkEnd w:id="2"/>
    </w:p>
    <w:p w:rsidR="00BC605B" w:rsidRDefault="00BC605B">
      <w:pPr>
        <w:widowControl/>
        <w:shd w:val="clear" w:color="auto" w:fill="FFFFFF"/>
        <w:spacing w:line="560" w:lineRule="exact"/>
        <w:rPr>
          <w:rFonts w:ascii="Georgia" w:eastAsia="仿宋" w:hAnsi="Georgia" w:cs="Segoe UI"/>
          <w:color w:val="212529"/>
          <w:kern w:val="0"/>
          <w:sz w:val="30"/>
          <w:szCs w:val="30"/>
        </w:rPr>
      </w:pPr>
    </w:p>
    <w:p w:rsidR="00247B5A" w:rsidRDefault="00247B5A">
      <w:pPr>
        <w:pStyle w:val="a6"/>
        <w:widowControl/>
        <w:shd w:val="clear" w:color="auto" w:fill="FFFFFF"/>
        <w:spacing w:line="560" w:lineRule="exact"/>
        <w:ind w:left="360" w:firstLineChars="600" w:firstLine="1807"/>
        <w:rPr>
          <w:rFonts w:ascii="Georgia" w:eastAsia="仿宋" w:hAnsi="Georgia" w:cs="Segoe UI"/>
          <w:b/>
          <w:color w:val="212529"/>
          <w:kern w:val="0"/>
          <w:sz w:val="30"/>
          <w:szCs w:val="30"/>
        </w:rPr>
      </w:pPr>
    </w:p>
    <w:p w:rsidR="00247B5A" w:rsidRDefault="00247B5A">
      <w:pPr>
        <w:pStyle w:val="a6"/>
        <w:widowControl/>
        <w:shd w:val="clear" w:color="auto" w:fill="FFFFFF"/>
        <w:spacing w:line="560" w:lineRule="exact"/>
        <w:ind w:left="360" w:firstLineChars="600" w:firstLine="1807"/>
        <w:rPr>
          <w:rFonts w:ascii="Georgia" w:eastAsia="仿宋" w:hAnsi="Georgia" w:cs="Segoe UI"/>
          <w:b/>
          <w:color w:val="212529"/>
          <w:kern w:val="0"/>
          <w:sz w:val="30"/>
          <w:szCs w:val="30"/>
        </w:rPr>
      </w:pPr>
    </w:p>
    <w:p w:rsidR="00247B5A" w:rsidRDefault="00247B5A">
      <w:pPr>
        <w:pStyle w:val="a6"/>
        <w:widowControl/>
        <w:shd w:val="clear" w:color="auto" w:fill="FFFFFF"/>
        <w:spacing w:line="560" w:lineRule="exact"/>
        <w:ind w:left="360" w:firstLineChars="600" w:firstLine="1807"/>
        <w:rPr>
          <w:rFonts w:ascii="Georgia" w:eastAsia="仿宋" w:hAnsi="Georgia" w:cs="Segoe UI"/>
          <w:b/>
          <w:color w:val="212529"/>
          <w:kern w:val="0"/>
          <w:sz w:val="30"/>
          <w:szCs w:val="30"/>
        </w:rPr>
      </w:pPr>
    </w:p>
    <w:p w:rsidR="00247B5A" w:rsidRDefault="00247B5A">
      <w:pPr>
        <w:pStyle w:val="a6"/>
        <w:widowControl/>
        <w:shd w:val="clear" w:color="auto" w:fill="FFFFFF"/>
        <w:spacing w:line="560" w:lineRule="exact"/>
        <w:ind w:left="360" w:firstLineChars="600" w:firstLine="1807"/>
        <w:rPr>
          <w:rFonts w:ascii="Georgia" w:eastAsia="仿宋" w:hAnsi="Georgia" w:cs="Segoe UI"/>
          <w:b/>
          <w:color w:val="212529"/>
          <w:kern w:val="0"/>
          <w:sz w:val="30"/>
          <w:szCs w:val="30"/>
        </w:rPr>
      </w:pPr>
    </w:p>
    <w:p w:rsidR="00BC605B" w:rsidRDefault="00AF325B">
      <w:pPr>
        <w:pStyle w:val="a6"/>
        <w:widowControl/>
        <w:shd w:val="clear" w:color="auto" w:fill="FFFFFF"/>
        <w:spacing w:line="560" w:lineRule="exact"/>
        <w:ind w:left="360" w:firstLineChars="600" w:firstLine="1807"/>
        <w:rPr>
          <w:rFonts w:ascii="Georgia" w:eastAsia="仿宋" w:hAnsi="Georgia" w:cs="Segoe UI"/>
          <w:b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b/>
          <w:color w:val="212529"/>
          <w:kern w:val="0"/>
          <w:sz w:val="30"/>
          <w:szCs w:val="30"/>
        </w:rPr>
        <w:t>法学院第一届“吴文瀚杯”法律英语比赛组委会</w:t>
      </w:r>
    </w:p>
    <w:p w:rsidR="00BC605B" w:rsidRPr="007D3FEE" w:rsidRDefault="00AF325B" w:rsidP="007D3FEE">
      <w:pPr>
        <w:ind w:firstLineChars="1339" w:firstLine="4033"/>
        <w:rPr>
          <w:rFonts w:ascii="Georgia" w:eastAsia="仿宋" w:hAnsi="Georgia" w:cs="Segoe UI"/>
          <w:b/>
          <w:color w:val="212529"/>
          <w:kern w:val="0"/>
          <w:sz w:val="30"/>
          <w:szCs w:val="30"/>
        </w:rPr>
      </w:pPr>
      <w:r w:rsidRPr="007D3FEE">
        <w:rPr>
          <w:rFonts w:ascii="Georgia" w:eastAsia="仿宋" w:hAnsi="Georgia" w:cs="Segoe UI" w:hint="eastAsia"/>
          <w:b/>
          <w:color w:val="212529"/>
          <w:kern w:val="0"/>
          <w:sz w:val="30"/>
          <w:szCs w:val="30"/>
        </w:rPr>
        <w:t>201</w:t>
      </w:r>
      <w:r w:rsidRPr="007D3FEE">
        <w:rPr>
          <w:rFonts w:ascii="Georgia" w:eastAsia="仿宋" w:hAnsi="Georgia" w:cs="Segoe UI"/>
          <w:b/>
          <w:color w:val="212529"/>
          <w:kern w:val="0"/>
          <w:sz w:val="30"/>
          <w:szCs w:val="30"/>
        </w:rPr>
        <w:t>9</w:t>
      </w:r>
      <w:r w:rsidRPr="007D3FEE">
        <w:rPr>
          <w:rFonts w:ascii="Georgia" w:eastAsia="仿宋" w:hAnsi="Georgia" w:cs="Segoe UI" w:hint="eastAsia"/>
          <w:b/>
          <w:color w:val="212529"/>
          <w:kern w:val="0"/>
          <w:sz w:val="30"/>
          <w:szCs w:val="30"/>
        </w:rPr>
        <w:t>年</w:t>
      </w:r>
      <w:r w:rsidRPr="007D3FEE">
        <w:rPr>
          <w:rFonts w:ascii="Georgia" w:eastAsia="仿宋" w:hAnsi="Georgia" w:cs="Segoe UI" w:hint="eastAsia"/>
          <w:b/>
          <w:color w:val="212529"/>
          <w:kern w:val="0"/>
          <w:sz w:val="30"/>
          <w:szCs w:val="30"/>
        </w:rPr>
        <w:t>9</w:t>
      </w:r>
      <w:r w:rsidRPr="007D3FEE">
        <w:rPr>
          <w:rFonts w:ascii="Georgia" w:eastAsia="仿宋" w:hAnsi="Georgia" w:cs="Segoe UI" w:hint="eastAsia"/>
          <w:b/>
          <w:color w:val="212529"/>
          <w:kern w:val="0"/>
          <w:sz w:val="30"/>
          <w:szCs w:val="30"/>
        </w:rPr>
        <w:t>月</w:t>
      </w:r>
      <w:r w:rsidRPr="007D3FEE">
        <w:rPr>
          <w:rFonts w:ascii="Georgia" w:eastAsia="仿宋" w:hAnsi="Georgia" w:cs="Segoe UI" w:hint="eastAsia"/>
          <w:b/>
          <w:color w:val="212529"/>
          <w:kern w:val="0"/>
          <w:sz w:val="30"/>
          <w:szCs w:val="30"/>
        </w:rPr>
        <w:t>1</w:t>
      </w:r>
      <w:r w:rsidR="007D3FEE" w:rsidRPr="007D3FEE">
        <w:rPr>
          <w:rFonts w:ascii="Georgia" w:eastAsia="仿宋" w:hAnsi="Georgia" w:cs="Segoe UI"/>
          <w:b/>
          <w:color w:val="212529"/>
          <w:kern w:val="0"/>
          <w:sz w:val="30"/>
          <w:szCs w:val="30"/>
        </w:rPr>
        <w:t>6</w:t>
      </w:r>
      <w:r w:rsidRPr="007D3FEE">
        <w:rPr>
          <w:rFonts w:ascii="Georgia" w:eastAsia="仿宋" w:hAnsi="Georgia" w:cs="Segoe UI" w:hint="eastAsia"/>
          <w:b/>
          <w:color w:val="212529"/>
          <w:kern w:val="0"/>
          <w:sz w:val="30"/>
          <w:szCs w:val="30"/>
        </w:rPr>
        <w:t>日</w:t>
      </w:r>
    </w:p>
    <w:p w:rsidR="00BC605B" w:rsidRDefault="00BC605B">
      <w:pPr>
        <w:widowControl/>
        <w:shd w:val="clear" w:color="auto" w:fill="FFFFFF"/>
        <w:spacing w:line="440" w:lineRule="exact"/>
        <w:rPr>
          <w:rFonts w:ascii="Georgia" w:eastAsia="仿宋" w:hAnsi="Georgia" w:cs="Segoe UI"/>
          <w:color w:val="212529"/>
          <w:kern w:val="0"/>
          <w:sz w:val="30"/>
          <w:szCs w:val="30"/>
        </w:rPr>
      </w:pPr>
    </w:p>
    <w:p w:rsidR="00BC605B" w:rsidRDefault="00BC605B">
      <w:pPr>
        <w:widowControl/>
        <w:shd w:val="clear" w:color="auto" w:fill="FFFFFF"/>
        <w:spacing w:line="440" w:lineRule="exact"/>
        <w:rPr>
          <w:rFonts w:ascii="Georgia" w:eastAsia="仿宋" w:hAnsi="Georgia" w:cs="Segoe UI"/>
          <w:color w:val="212529"/>
          <w:kern w:val="0"/>
          <w:sz w:val="30"/>
          <w:szCs w:val="30"/>
        </w:rPr>
      </w:pPr>
    </w:p>
    <w:p w:rsidR="00BC605B" w:rsidRDefault="00BC605B">
      <w:pPr>
        <w:widowControl/>
        <w:shd w:val="clear" w:color="auto" w:fill="FFFFFF"/>
        <w:spacing w:line="440" w:lineRule="exact"/>
        <w:rPr>
          <w:rFonts w:ascii="Georgia" w:eastAsia="仿宋" w:hAnsi="Georgia" w:cs="Segoe UI"/>
          <w:color w:val="212529"/>
          <w:kern w:val="0"/>
          <w:sz w:val="30"/>
          <w:szCs w:val="30"/>
        </w:rPr>
      </w:pPr>
    </w:p>
    <w:p w:rsidR="00BC605B" w:rsidRDefault="00BC605B">
      <w:pPr>
        <w:widowControl/>
        <w:shd w:val="clear" w:color="auto" w:fill="FFFFFF"/>
        <w:spacing w:line="440" w:lineRule="exact"/>
      </w:pPr>
    </w:p>
    <w:sectPr w:rsidR="00BC605B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2B6" w:rsidRDefault="00A652B6">
      <w:r>
        <w:separator/>
      </w:r>
    </w:p>
  </w:endnote>
  <w:endnote w:type="continuationSeparator" w:id="0">
    <w:p w:rsidR="00A652B6" w:rsidRDefault="00A6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05B" w:rsidRDefault="00AF32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B3AA8" w:rsidRPr="007B3AA8">
      <w:rPr>
        <w:noProof/>
        <w:lang w:val="zh-CN"/>
      </w:rPr>
      <w:t>2</w:t>
    </w:r>
    <w:r>
      <w:fldChar w:fldCharType="end"/>
    </w:r>
  </w:p>
  <w:p w:rsidR="00BC605B" w:rsidRDefault="00BC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2B6" w:rsidRDefault="00A652B6">
      <w:r>
        <w:separator/>
      </w:r>
    </w:p>
  </w:footnote>
  <w:footnote w:type="continuationSeparator" w:id="0">
    <w:p w:rsidR="00A652B6" w:rsidRDefault="00A65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05B" w:rsidRDefault="00BC605B">
    <w:pPr>
      <w:rPr>
        <w:rFonts w:ascii="黑体" w:eastAsia="黑体" w:hAnsi="黑体"/>
      </w:rPr>
    </w:pPr>
  </w:p>
  <w:p w:rsidR="00BC605B" w:rsidRDefault="00BC60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05B" w:rsidRDefault="00AF325B">
    <w:pPr>
      <w:rPr>
        <w:rFonts w:ascii="黑体" w:eastAsia="黑体" w:hAnsi="黑体"/>
      </w:rPr>
    </w:pPr>
    <w:r>
      <w:rPr>
        <w:rFonts w:ascii="黑体" w:eastAsia="黑体" w:hAnsi="黑体" w:hint="eastAsia"/>
      </w:rPr>
      <w:t>附件1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5D6A365A"/>
    <w:lvl w:ilvl="0" w:tplc="9536A49E">
      <w:start w:val="1"/>
      <w:numFmt w:val="decimal"/>
      <w:lvlText w:val="%1."/>
      <w:lvlJc w:val="left"/>
      <w:pPr>
        <w:ind w:left="360" w:hanging="360"/>
      </w:pPr>
      <w:rPr>
        <w:rFonts w:ascii="Georgia" w:eastAsia="仿宋" w:hAnsi="Georgia" w:cs="Segoe U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4D6A3D7C"/>
    <w:lvl w:ilvl="0" w:tplc="1186B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7D025AD6"/>
    <w:lvl w:ilvl="0" w:tplc="95F69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5B3D8E"/>
    <w:multiLevelType w:val="hybridMultilevel"/>
    <w:tmpl w:val="C5B099F4"/>
    <w:lvl w:ilvl="0" w:tplc="FCFA87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5B"/>
    <w:rsid w:val="00247B5A"/>
    <w:rsid w:val="006F266B"/>
    <w:rsid w:val="007B3AA8"/>
    <w:rsid w:val="007D3FEE"/>
    <w:rsid w:val="00A652B6"/>
    <w:rsid w:val="00AF325B"/>
    <w:rsid w:val="00B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6C7F3F-A58E-4CA6-8A6A-6FBD81C9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MingLiU" w:eastAsia="PMingLiU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等线" w:eastAsia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rFonts w:ascii="等线" w:eastAsia="等线"/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="等线" w:eastAsia="等线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242EE-8311-4F0E-AAC7-324FB7CC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strangeswan sue</dc:creator>
  <cp:lastModifiedBy>王金元</cp:lastModifiedBy>
  <cp:revision>30</cp:revision>
  <dcterms:created xsi:type="dcterms:W3CDTF">2019-09-08T09:35:00Z</dcterms:created>
  <dcterms:modified xsi:type="dcterms:W3CDTF">2019-09-15T02:45:00Z</dcterms:modified>
</cp:coreProperties>
</file>